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2BC" w:rsidRPr="0026227D" w:rsidRDefault="007B32BC" w:rsidP="002622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DIRECT VERSUS CALCULATED LDL CHOLESTEROL AND C REACTIVE PROTEIN IN CARDIOVASCULAR DISEASE RISK ASSESSMENT IN THE FRAMINGHAM OFFSPRING STUDY</w:t>
      </w:r>
    </w:p>
    <w:p w:rsidR="0026227D" w:rsidRDefault="007B32BC" w:rsidP="002622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H. Ikezaki</w:t>
      </w:r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1</w:t>
      </w:r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</w:rPr>
        <w:t>, V.A. Fisher</w:t>
      </w:r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</w:rPr>
        <w:t>, C.-T. Liu</w:t>
      </w:r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</w:rPr>
        <w:t>, K. Nakajima</w:t>
      </w:r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</w:rPr>
        <w:t>, B.F. Asztalos</w:t>
      </w:r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</w:rPr>
        <w:t>, N. Furusyo</w:t>
      </w:r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</w:rPr>
        <w:t>, J. Hayashi</w:t>
      </w:r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26227D" w:rsidRDefault="007B32BC" w:rsidP="0026227D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</w:rPr>
        <w:t>L. Cupples</w:t>
      </w:r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</w:rPr>
        <w:t>, E.J. Schaefer</w:t>
      </w:r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:rsidR="0026227D" w:rsidRDefault="007B32BC" w:rsidP="002622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</w:rPr>
        <w:t>Cardiovascular Nutrition Lab, HNRCA at Tufts University, Boston, MA, USA </w:t>
      </w:r>
    </w:p>
    <w:p w:rsidR="0026227D" w:rsidRDefault="007B32BC" w:rsidP="002622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</w:rPr>
        <w:t>Boston University School of Public Health, Boston, MA, USA</w:t>
      </w:r>
    </w:p>
    <w:p w:rsidR="0026227D" w:rsidRDefault="007B32BC" w:rsidP="002622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</w:rPr>
        <w:t>Gunma University, Maebashi, Japan</w:t>
      </w:r>
    </w:p>
    <w:p w:rsidR="007B32BC" w:rsidRPr="0026227D" w:rsidRDefault="007B32BC" w:rsidP="002622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</w:rPr>
        <w:t>Kyushu University Hospital, Fukuoka, Japan</w:t>
      </w:r>
    </w:p>
    <w:p w:rsidR="007B32BC" w:rsidRPr="0026227D" w:rsidRDefault="007B32BC" w:rsidP="002622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27D" w:rsidRDefault="007B32BC" w:rsidP="0026227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</w:t>
      </w:r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</w:rPr>
        <w:t> Elevated serum LDL cholesterol (LDL-C) and high sensitivity C reactive protein (</w:t>
      </w:r>
      <w:proofErr w:type="spellStart"/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</w:rPr>
        <w:t>hsCRP</w:t>
      </w:r>
      <w:proofErr w:type="spellEnd"/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levels have been identified as major risk factors for cardiovascular disease (CVD). Our goal was to assess direct versus calculated LDL-C and </w:t>
      </w:r>
      <w:proofErr w:type="spellStart"/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</w:rPr>
        <w:t>hsCRP</w:t>
      </w:r>
      <w:proofErr w:type="spellEnd"/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levels as compared to standard risk factors in the prospective Framingham Offspring Study.</w:t>
      </w:r>
    </w:p>
    <w:p w:rsidR="0026227D" w:rsidRDefault="007B32BC" w:rsidP="002622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Method:</w:t>
      </w:r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Stored frozen plasma samples (-80 degrees C) obtained after an overnight fast from male and female participants free of CVD at cycle 6 of the Framingham Offspring Study were used (n=3,147, mean age 58 years) and 677 or 21.5% developed a CVD endpoint over 16 years. Total cholesterol, triglycerides, HDL cholesterol (HDL-C), direct LDL-C, and </w:t>
      </w:r>
      <w:proofErr w:type="spellStart"/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</w:rPr>
        <w:t>hsCRP</w:t>
      </w:r>
      <w:proofErr w:type="spellEnd"/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measured by standardized automated analysis, and LDL-C was also calculated.</w:t>
      </w:r>
      <w:r w:rsidR="0026227D" w:rsidRPr="00262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6227D" w:rsidRDefault="007B32BC" w:rsidP="002622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</w:t>
      </w:r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For inclusive CVD risk on univariate analysis significant factors in order included the standard risk factors age, hypertension, HDL-C, hypertension treatment, gender, diabetes, smoking, and total cholesterol, as well as the non-standard risk factors non-HDL-C, direct LDL-C, calculated LDL-C, triglycerides (TG), and </w:t>
      </w:r>
      <w:proofErr w:type="spellStart"/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</w:rPr>
        <w:t>hsCRP</w:t>
      </w:r>
      <w:proofErr w:type="spellEnd"/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On multivariate analysis </w:t>
      </w:r>
      <w:proofErr w:type="gramStart"/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proofErr w:type="gramEnd"/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 LDL-C and </w:t>
      </w:r>
      <w:proofErr w:type="spellStart"/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</w:rPr>
        <w:t>hsCRP</w:t>
      </w:r>
      <w:proofErr w:type="spellEnd"/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still significant after inclusion of the standard model. Both parameters significantly improved the model C statistic and the net risk reclassification index. The same findings were noted for other CVD risk categories including hard CVD with procedures and hard CVD.</w:t>
      </w:r>
      <w:r w:rsidR="0026227D" w:rsidRPr="00262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B32BC" w:rsidRPr="0026227D" w:rsidRDefault="007B32BC" w:rsidP="0026227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 </w:t>
      </w:r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data indicate that direct LDL-C is superior to calculated LDL-C in CVD risk prediction, and that both direct LDL-C and </w:t>
      </w:r>
      <w:proofErr w:type="spellStart"/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</w:rPr>
        <w:t>hsCRP</w:t>
      </w:r>
      <w:proofErr w:type="spellEnd"/>
      <w:r w:rsidRPr="00262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 significant information to CVD risk prediction versus the standard model.</w:t>
      </w:r>
    </w:p>
    <w:p w:rsidR="00345DBB" w:rsidRPr="0026227D" w:rsidRDefault="00767C4D">
      <w:pPr>
        <w:rPr>
          <w:sz w:val="24"/>
          <w:szCs w:val="24"/>
        </w:rPr>
      </w:pPr>
      <w:bookmarkStart w:id="0" w:name="_GoBack"/>
      <w:bookmarkEnd w:id="0"/>
    </w:p>
    <w:sectPr w:rsidR="00345DBB" w:rsidRPr="002622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C4D" w:rsidRDefault="00767C4D" w:rsidP="0026227D">
      <w:r>
        <w:separator/>
      </w:r>
    </w:p>
  </w:endnote>
  <w:endnote w:type="continuationSeparator" w:id="0">
    <w:p w:rsidR="00767C4D" w:rsidRDefault="00767C4D" w:rsidP="0026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C4D" w:rsidRDefault="00767C4D" w:rsidP="0026227D">
      <w:r>
        <w:separator/>
      </w:r>
    </w:p>
  </w:footnote>
  <w:footnote w:type="continuationSeparator" w:id="0">
    <w:p w:rsidR="00767C4D" w:rsidRDefault="00767C4D" w:rsidP="0026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27D" w:rsidRPr="0026227D" w:rsidRDefault="0026227D" w:rsidP="0026227D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26227D">
      <w:rPr>
        <w:rFonts w:ascii="Times New Roman" w:eastAsia="Times New Roman" w:hAnsi="Times New Roman" w:cs="Times New Roman"/>
        <w:color w:val="000000"/>
        <w:sz w:val="24"/>
        <w:szCs w:val="24"/>
      </w:rPr>
      <w:t>18-A-501-IAC</w:t>
    </w:r>
  </w:p>
  <w:p w:rsidR="0026227D" w:rsidRPr="0026227D" w:rsidRDefault="0026227D" w:rsidP="0026227D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26227D">
      <w:rPr>
        <w:rFonts w:ascii="Times New Roman" w:eastAsia="Times New Roman" w:hAnsi="Times New Roman" w:cs="Times New Roman"/>
        <w:color w:val="000000"/>
        <w:sz w:val="24"/>
        <w:szCs w:val="24"/>
      </w:rPr>
      <w:t>16. Lipid and Lipoprotein Disorders, Basic and Clinical</w:t>
    </w:r>
  </w:p>
  <w:p w:rsidR="0026227D" w:rsidRDefault="0026227D">
    <w:pPr>
      <w:pStyle w:val="Header"/>
    </w:pPr>
  </w:p>
  <w:p w:rsidR="0026227D" w:rsidRDefault="002622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BC"/>
    <w:rsid w:val="0026227D"/>
    <w:rsid w:val="0030401F"/>
    <w:rsid w:val="00767C4D"/>
    <w:rsid w:val="007B32BC"/>
    <w:rsid w:val="008A10D5"/>
    <w:rsid w:val="00A128E1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78CD"/>
  <w15:chartTrackingRefBased/>
  <w15:docId w15:val="{C996C068-2333-46A7-A7ED-C7E87413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27D"/>
  </w:style>
  <w:style w:type="paragraph" w:styleId="Footer">
    <w:name w:val="footer"/>
    <w:basedOn w:val="Normal"/>
    <w:link w:val="FooterChar"/>
    <w:uiPriority w:val="99"/>
    <w:unhideWhenUsed/>
    <w:rsid w:val="00262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2018-05-24T06:13:00Z</dcterms:created>
  <dcterms:modified xsi:type="dcterms:W3CDTF">2018-05-24T06:16:00Z</dcterms:modified>
</cp:coreProperties>
</file>